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8063a354803a9bf2851967b7fa5cf9bdea6027"/>
    <w:p>
      <w:pPr>
        <w:pStyle w:val="Heading1"/>
      </w:pPr>
      <w:r>
        <w:t xml:space="preserve">SACSCOC Principles of Accreditation Standards (Current 2024 Edition in Effect During 2026)</w:t>
      </w:r>
    </w:p>
    <w:p>
      <w:pPr>
        <w:pStyle w:val="FirstParagraph"/>
      </w:pPr>
      <w:r>
        <w:t xml:space="preserve">The following list reflects the current Southern Association of Colleges and Schools Commission on Colleges (SACSCOC)</w:t>
      </w:r>
      <w:r>
        <w:t xml:space="preserve"> </w:t>
      </w:r>
      <w:r>
        <w:rPr>
          <w:i/>
          <w:iCs/>
        </w:rPr>
        <w:t xml:space="preserve">Principles of Accreditation: Foundations for Quality Enhancement</w:t>
      </w:r>
      <w:r>
        <w:t xml:space="preserve"> </w:t>
      </w:r>
      <w:r>
        <w:t xml:space="preserve">standards structure in numerical order.</w:t>
      </w:r>
    </w:p>
    <w:bookmarkStart w:id="21" w:name="section-1-the-principle-of-integrity"/>
    <w:p>
      <w:pPr>
        <w:pStyle w:val="Heading2"/>
      </w:pPr>
      <w:r>
        <w:t xml:space="preserve">Section 1 — The Principle of Integrity</w:t>
      </w:r>
    </w:p>
    <w:bookmarkStart w:id="20" w:name="integrity"/>
    <w:p>
      <w:pPr>
        <w:pStyle w:val="Heading3"/>
      </w:pPr>
      <w:r>
        <w:t xml:space="preserve">1.1 Integrity</w:t>
      </w:r>
    </w:p>
    <w:p>
      <w:r>
        <w:pict>
          <v:rect style="width:0;height:1.5pt" o:hralign="center" o:hrstd="t" o:hr="t"/>
        </w:pict>
      </w:r>
    </w:p>
    <w:bookmarkEnd w:id="20"/>
    <w:bookmarkEnd w:id="21"/>
    <w:bookmarkEnd w:id="22"/>
    <w:bookmarkStart w:id="27" w:name="section-2-mission"/>
    <w:p>
      <w:pPr>
        <w:pStyle w:val="Heading1"/>
      </w:pPr>
      <w:r>
        <w:t xml:space="preserve">Section 2 — Mission</w:t>
      </w:r>
    </w:p>
    <w:bookmarkStart w:id="23" w:name="degree-granting-authority"/>
    <w:p>
      <w:pPr>
        <w:pStyle w:val="Heading3"/>
      </w:pPr>
      <w:r>
        <w:t xml:space="preserve">2.1 Degree-granting authority</w:t>
      </w:r>
    </w:p>
    <w:bookmarkEnd w:id="23"/>
    <w:bookmarkStart w:id="24" w:name="governing-board"/>
    <w:p>
      <w:pPr>
        <w:pStyle w:val="Heading3"/>
      </w:pPr>
      <w:r>
        <w:t xml:space="preserve">2.2 Governing board</w:t>
      </w:r>
    </w:p>
    <w:bookmarkEnd w:id="24"/>
    <w:bookmarkStart w:id="25" w:name="institution-wide-goals-and-outcomes"/>
    <w:p>
      <w:pPr>
        <w:pStyle w:val="Heading3"/>
      </w:pPr>
      <w:r>
        <w:t xml:space="preserve">2.3 Institution-wide goals and outcomes</w:t>
      </w:r>
    </w:p>
    <w:bookmarkEnd w:id="25"/>
    <w:bookmarkStart w:id="26" w:name="student-achievement"/>
    <w:p>
      <w:pPr>
        <w:pStyle w:val="Heading3"/>
      </w:pPr>
      <w:r>
        <w:t xml:space="preserve">2.4 Student achievement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54" w:name="section-3-basic-eligibility-standards"/>
    <w:p>
      <w:pPr>
        <w:pStyle w:val="Heading1"/>
      </w:pPr>
      <w:r>
        <w:t xml:space="preserve">Section 3 — Basic Eligibility Standards</w:t>
      </w:r>
    </w:p>
    <w:bookmarkStart w:id="28" w:name="a-operations-with-integrity"/>
    <w:p>
      <w:pPr>
        <w:pStyle w:val="Heading3"/>
      </w:pPr>
      <w:r>
        <w:t xml:space="preserve">3.1.a Operations with integrity</w:t>
      </w:r>
    </w:p>
    <w:bookmarkEnd w:id="28"/>
    <w:bookmarkStart w:id="29" w:name="b-operational-status"/>
    <w:p>
      <w:pPr>
        <w:pStyle w:val="Heading3"/>
      </w:pPr>
      <w:r>
        <w:t xml:space="preserve">3.1.b Operational status</w:t>
      </w:r>
    </w:p>
    <w:bookmarkEnd w:id="29"/>
    <w:bookmarkStart w:id="30" w:name="c-credit-hours"/>
    <w:p>
      <w:pPr>
        <w:pStyle w:val="Heading3"/>
      </w:pPr>
      <w:r>
        <w:t xml:space="preserve">3.1.c Credit hours</w:t>
      </w:r>
    </w:p>
    <w:bookmarkEnd w:id="30"/>
    <w:bookmarkStart w:id="31" w:name="d-programs-and-courses"/>
    <w:p>
      <w:pPr>
        <w:pStyle w:val="Heading3"/>
      </w:pPr>
      <w:r>
        <w:t xml:space="preserve">3.1.d Programs and courses</w:t>
      </w:r>
    </w:p>
    <w:bookmarkEnd w:id="31"/>
    <w:bookmarkStart w:id="32" w:name="e-degrees"/>
    <w:p>
      <w:pPr>
        <w:pStyle w:val="Heading3"/>
      </w:pPr>
      <w:r>
        <w:t xml:space="preserve">3.1.e Degrees</w:t>
      </w:r>
    </w:p>
    <w:bookmarkEnd w:id="32"/>
    <w:bookmarkStart w:id="33" w:name="f-educational-programs"/>
    <w:p>
      <w:pPr>
        <w:pStyle w:val="Heading3"/>
      </w:pPr>
      <w:r>
        <w:t xml:space="preserve">3.1.f Educational programs</w:t>
      </w:r>
    </w:p>
    <w:bookmarkEnd w:id="33"/>
    <w:bookmarkStart w:id="34" w:name="g-undergraduate-general-education"/>
    <w:p>
      <w:pPr>
        <w:pStyle w:val="Heading3"/>
      </w:pPr>
      <w:r>
        <w:t xml:space="preserve">3.1.g Undergraduate general education</w:t>
      </w:r>
    </w:p>
    <w:bookmarkEnd w:id="34"/>
    <w:bookmarkStart w:id="35" w:name="X80c1d13c9ccea6186f2da45e993fdb5fa61ed3f"/>
    <w:p>
      <w:pPr>
        <w:pStyle w:val="Heading3"/>
      </w:pPr>
      <w:r>
        <w:t xml:space="preserve">3.1.h Quality and integrity of undergraduate degrees</w:t>
      </w:r>
    </w:p>
    <w:bookmarkEnd w:id="35"/>
    <w:bookmarkStart w:id="36" w:name="i-institutional-environment"/>
    <w:p>
      <w:pPr>
        <w:pStyle w:val="Heading3"/>
      </w:pPr>
      <w:r>
        <w:t xml:space="preserve">3.1.i Institutional environment</w:t>
      </w:r>
    </w:p>
    <w:bookmarkEnd w:id="36"/>
    <w:bookmarkStart w:id="37" w:name="j-public-information"/>
    <w:p>
      <w:pPr>
        <w:pStyle w:val="Heading3"/>
      </w:pPr>
      <w:r>
        <w:t xml:space="preserve">3.1.j Public information</w:t>
      </w:r>
    </w:p>
    <w:bookmarkEnd w:id="37"/>
    <w:bookmarkStart w:id="38" w:name="k-quality-enhancement"/>
    <w:p>
      <w:pPr>
        <w:pStyle w:val="Heading3"/>
      </w:pPr>
      <w:r>
        <w:t xml:space="preserve">3.1.k Quality enhancement</w:t>
      </w:r>
    </w:p>
    <w:bookmarkEnd w:id="38"/>
    <w:bookmarkStart w:id="39" w:name="l-institutional-effectiveness"/>
    <w:p>
      <w:pPr>
        <w:pStyle w:val="Heading3"/>
      </w:pPr>
      <w:r>
        <w:t xml:space="preserve">3.1.l Institutional effectiveness</w:t>
      </w:r>
    </w:p>
    <w:bookmarkEnd w:id="39"/>
    <w:bookmarkStart w:id="40" w:name="m-compliance-with-commission-policies"/>
    <w:p>
      <w:pPr>
        <w:pStyle w:val="Heading3"/>
      </w:pPr>
      <w:r>
        <w:t xml:space="preserve">3.1.m Compliance with Commission policies</w:t>
      </w:r>
    </w:p>
    <w:bookmarkEnd w:id="40"/>
    <w:bookmarkStart w:id="41" w:name="X03ce4e14c0af51340293b8297e63d5c0b18f7d0"/>
    <w:p>
      <w:pPr>
        <w:pStyle w:val="Heading3"/>
      </w:pPr>
      <w:r>
        <w:t xml:space="preserve">3.1.n Accrediting decisions of other agencies</w:t>
      </w:r>
    </w:p>
    <w:bookmarkEnd w:id="41"/>
    <w:bookmarkStart w:id="42" w:name="o-faculty-qualifications"/>
    <w:p>
      <w:pPr>
        <w:pStyle w:val="Heading3"/>
      </w:pPr>
      <w:r>
        <w:t xml:space="preserve">3.1.o Faculty qualifications</w:t>
      </w:r>
    </w:p>
    <w:bookmarkEnd w:id="42"/>
    <w:bookmarkStart w:id="43" w:name="p-institutional-resources"/>
    <w:p>
      <w:pPr>
        <w:pStyle w:val="Heading3"/>
      </w:pPr>
      <w:r>
        <w:t xml:space="preserve">3.1.p Institutional resources</w:t>
      </w:r>
    </w:p>
    <w:bookmarkEnd w:id="43"/>
    <w:bookmarkStart w:id="44" w:name="q-financial-documents"/>
    <w:p>
      <w:pPr>
        <w:pStyle w:val="Heading3"/>
      </w:pPr>
      <w:r>
        <w:t xml:space="preserve">3.1.q Financial documents</w:t>
      </w:r>
    </w:p>
    <w:bookmarkEnd w:id="44"/>
    <w:bookmarkStart w:id="45" w:name="r-financial-stability"/>
    <w:p>
      <w:pPr>
        <w:pStyle w:val="Heading3"/>
      </w:pPr>
      <w:r>
        <w:t xml:space="preserve">3.1.r Financial stability</w:t>
      </w:r>
    </w:p>
    <w:bookmarkEnd w:id="45"/>
    <w:bookmarkStart w:id="46" w:name="s-financial-aid-audits"/>
    <w:p>
      <w:pPr>
        <w:pStyle w:val="Heading3"/>
      </w:pPr>
      <w:r>
        <w:t xml:space="preserve">3.1.s Financial aid audits</w:t>
      </w:r>
    </w:p>
    <w:bookmarkEnd w:id="46"/>
    <w:bookmarkStart w:id="47" w:name="t-financial-responsibility"/>
    <w:p>
      <w:pPr>
        <w:pStyle w:val="Heading3"/>
      </w:pPr>
      <w:r>
        <w:t xml:space="preserve">3.1.t Financial responsibility</w:t>
      </w:r>
    </w:p>
    <w:bookmarkEnd w:id="47"/>
    <w:bookmarkStart w:id="48" w:name="u-institutional-governance"/>
    <w:p>
      <w:pPr>
        <w:pStyle w:val="Heading3"/>
      </w:pPr>
      <w:r>
        <w:t xml:space="preserve">3.1.u Institutional governance</w:t>
      </w:r>
    </w:p>
    <w:bookmarkEnd w:id="48"/>
    <w:bookmarkStart w:id="49" w:name="X4925b2f8234e09b3423723b7fe905c96543cb7e"/>
    <w:p>
      <w:pPr>
        <w:pStyle w:val="Heading3"/>
      </w:pPr>
      <w:r>
        <w:t xml:space="preserve">3.1.v Institutional planning and effectiveness</w:t>
      </w:r>
    </w:p>
    <w:bookmarkEnd w:id="49"/>
    <w:bookmarkStart w:id="50" w:name="w-institutional-control"/>
    <w:p>
      <w:pPr>
        <w:pStyle w:val="Heading3"/>
      </w:pPr>
      <w:r>
        <w:t xml:space="preserve">3.1.w Institutional control</w:t>
      </w:r>
    </w:p>
    <w:bookmarkEnd w:id="50"/>
    <w:bookmarkStart w:id="51" w:name="x-libraries-and-learning-resources"/>
    <w:p>
      <w:pPr>
        <w:pStyle w:val="Heading3"/>
      </w:pPr>
      <w:r>
        <w:t xml:space="preserve">3.1.x Libraries and learning resources</w:t>
      </w:r>
    </w:p>
    <w:bookmarkEnd w:id="51"/>
    <w:bookmarkStart w:id="52" w:name="y-student-support-services"/>
    <w:p>
      <w:pPr>
        <w:pStyle w:val="Heading3"/>
      </w:pPr>
      <w:r>
        <w:t xml:space="preserve">3.1.y Student support services</w:t>
      </w:r>
    </w:p>
    <w:bookmarkEnd w:id="52"/>
    <w:bookmarkStart w:id="53" w:name="z-physical-resources"/>
    <w:p>
      <w:pPr>
        <w:pStyle w:val="Heading3"/>
      </w:pPr>
      <w:r>
        <w:t xml:space="preserve">3.1.z Physical resources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68" w:name="section-4-governing-board"/>
    <w:p>
      <w:pPr>
        <w:pStyle w:val="Heading1"/>
      </w:pPr>
      <w:r>
        <w:t xml:space="preserve">Section 4 — Governing Board</w:t>
      </w:r>
    </w:p>
    <w:bookmarkStart w:id="60" w:name="governing-board-characteristics"/>
    <w:p>
      <w:pPr>
        <w:pStyle w:val="Heading3"/>
      </w:pPr>
      <w:r>
        <w:t xml:space="preserve">4.1 Governing board characteristics</w:t>
      </w:r>
    </w:p>
    <w:bookmarkStart w:id="55" w:name="a-board-authority"/>
    <w:p>
      <w:pPr>
        <w:pStyle w:val="Heading4"/>
      </w:pPr>
      <w:r>
        <w:t xml:space="preserve">4.1.a Board authority</w:t>
      </w:r>
    </w:p>
    <w:bookmarkEnd w:id="55"/>
    <w:bookmarkStart w:id="56" w:name="b-board-independence"/>
    <w:p>
      <w:pPr>
        <w:pStyle w:val="Heading4"/>
      </w:pPr>
      <w:r>
        <w:t xml:space="preserve">4.1.b Board independence</w:t>
      </w:r>
    </w:p>
    <w:bookmarkEnd w:id="56"/>
    <w:bookmarkStart w:id="57" w:name="c-board-conflict-of-interest"/>
    <w:p>
      <w:pPr>
        <w:pStyle w:val="Heading4"/>
      </w:pPr>
      <w:r>
        <w:t xml:space="preserve">4.1.c Board conflict of interest</w:t>
      </w:r>
    </w:p>
    <w:bookmarkEnd w:id="57"/>
    <w:bookmarkStart w:id="58" w:name="d-board-dismissal"/>
    <w:p>
      <w:pPr>
        <w:pStyle w:val="Heading4"/>
      </w:pPr>
      <w:r>
        <w:t xml:space="preserve">4.1.d Board dismissal</w:t>
      </w:r>
    </w:p>
    <w:bookmarkEnd w:id="58"/>
    <w:bookmarkStart w:id="59" w:name="e-board-evaluation"/>
    <w:p>
      <w:pPr>
        <w:pStyle w:val="Heading4"/>
      </w:pPr>
      <w:r>
        <w:t xml:space="preserve">4.1.e Board evaluation</w:t>
      </w:r>
    </w:p>
    <w:bookmarkEnd w:id="59"/>
    <w:bookmarkEnd w:id="60"/>
    <w:bookmarkStart w:id="66" w:name="boardadministrative-distinction"/>
    <w:p>
      <w:pPr>
        <w:pStyle w:val="Heading3"/>
      </w:pPr>
      <w:r>
        <w:t xml:space="preserve">4.2 Board/administrative distinction</w:t>
      </w:r>
    </w:p>
    <w:bookmarkStart w:id="61" w:name="a-mission-review"/>
    <w:p>
      <w:pPr>
        <w:pStyle w:val="Heading4"/>
      </w:pPr>
      <w:r>
        <w:t xml:space="preserve">4.2.a Mission review</w:t>
      </w:r>
    </w:p>
    <w:bookmarkEnd w:id="61"/>
    <w:bookmarkStart w:id="62" w:name="b-boardadministration-responsibilities"/>
    <w:p>
      <w:pPr>
        <w:pStyle w:val="Heading4"/>
      </w:pPr>
      <w:r>
        <w:t xml:space="preserve">4.2.b Board/administration responsibilities</w:t>
      </w:r>
    </w:p>
    <w:bookmarkEnd w:id="62"/>
    <w:bookmarkStart w:id="63" w:name="c-chief-executive-officer-evaluation"/>
    <w:p>
      <w:pPr>
        <w:pStyle w:val="Heading4"/>
      </w:pPr>
      <w:r>
        <w:t xml:space="preserve">4.2.c Chief executive officer evaluation</w:t>
      </w:r>
    </w:p>
    <w:bookmarkEnd w:id="63"/>
    <w:bookmarkStart w:id="64" w:name="d-external-influence"/>
    <w:p>
      <w:pPr>
        <w:pStyle w:val="Heading4"/>
      </w:pPr>
      <w:r>
        <w:t xml:space="preserve">4.2.d External influence</w:t>
      </w:r>
    </w:p>
    <w:bookmarkEnd w:id="64"/>
    <w:bookmarkStart w:id="65" w:name="e-control-of-intercollegiate-athletics"/>
    <w:p>
      <w:pPr>
        <w:pStyle w:val="Heading4"/>
      </w:pPr>
      <w:r>
        <w:t xml:space="preserve">4.2.e Control of intercollegiate athletics</w:t>
      </w:r>
    </w:p>
    <w:bookmarkEnd w:id="65"/>
    <w:bookmarkEnd w:id="66"/>
    <w:bookmarkStart w:id="67" w:name="multi-level-governance"/>
    <w:p>
      <w:pPr>
        <w:pStyle w:val="Heading3"/>
      </w:pPr>
      <w:r>
        <w:t xml:space="preserve">4.3 Multi-level governance</w:t>
      </w:r>
    </w:p>
    <w:p>
      <w:r>
        <w:pict>
          <v:rect style="width:0;height:1.5pt" o:hralign="center" o:hrstd="t" o:hr="t"/>
        </w:pict>
      </w:r>
    </w:p>
    <w:bookmarkEnd w:id="67"/>
    <w:bookmarkEnd w:id="68"/>
    <w:bookmarkStart w:id="74" w:name="X9db8f79e1ae12051e5d5cea4434e1e240f8c885"/>
    <w:p>
      <w:pPr>
        <w:pStyle w:val="Heading1"/>
      </w:pPr>
      <w:r>
        <w:t xml:space="preserve">Section 5 — Administration and Organization</w:t>
      </w:r>
    </w:p>
    <w:bookmarkStart w:id="69" w:name="chief-executive-officer"/>
    <w:p>
      <w:pPr>
        <w:pStyle w:val="Heading3"/>
      </w:pPr>
      <w:r>
        <w:t xml:space="preserve">5.1 Chief executive officer</w:t>
      </w:r>
    </w:p>
    <w:bookmarkEnd w:id="69"/>
    <w:bookmarkStart w:id="70" w:name="X0d5b48fc0022d94da6694da922f7bea440031d9"/>
    <w:p>
      <w:pPr>
        <w:pStyle w:val="Heading3"/>
      </w:pPr>
      <w:r>
        <w:t xml:space="preserve">5.2 Administrative organization and effectiveness</w:t>
      </w:r>
    </w:p>
    <w:bookmarkEnd w:id="70"/>
    <w:bookmarkStart w:id="71" w:name="institutional-related-entities"/>
    <w:p>
      <w:pPr>
        <w:pStyle w:val="Heading3"/>
      </w:pPr>
      <w:r>
        <w:t xml:space="preserve">5.3 Institutional related entities</w:t>
      </w:r>
    </w:p>
    <w:bookmarkEnd w:id="71"/>
    <w:bookmarkStart w:id="72" w:name="Xb2cb4f1fa740e7f39a7b348e2b6170615055429"/>
    <w:p>
      <w:pPr>
        <w:pStyle w:val="Heading3"/>
      </w:pPr>
      <w:r>
        <w:t xml:space="preserve">5.4 Qualified administrative and academic officers</w:t>
      </w:r>
    </w:p>
    <w:bookmarkEnd w:id="72"/>
    <w:bookmarkStart w:id="73" w:name="personnel-appointment-and-evaluation"/>
    <w:p>
      <w:pPr>
        <w:pStyle w:val="Heading3"/>
      </w:pPr>
      <w:r>
        <w:t xml:space="preserve">5.5 Personnel appointment and evaluation</w:t>
      </w:r>
    </w:p>
    <w:p>
      <w:r>
        <w:pict>
          <v:rect style="width:0;height:1.5pt" o:hralign="center" o:hrstd="t" o:hr="t"/>
        </w:pict>
      </w:r>
    </w:p>
    <w:bookmarkEnd w:id="73"/>
    <w:bookmarkEnd w:id="74"/>
    <w:bookmarkStart w:id="81" w:name="section-6-faculty"/>
    <w:p>
      <w:pPr>
        <w:pStyle w:val="Heading1"/>
      </w:pPr>
      <w:r>
        <w:t xml:space="preserve">Section 6 — Faculty</w:t>
      </w:r>
    </w:p>
    <w:bookmarkStart w:id="75" w:name="full-time-faculty"/>
    <w:p>
      <w:pPr>
        <w:pStyle w:val="Heading3"/>
      </w:pPr>
      <w:r>
        <w:t xml:space="preserve">6.1 Full-time faculty</w:t>
      </w:r>
    </w:p>
    <w:bookmarkEnd w:id="75"/>
    <w:bookmarkStart w:id="78" w:name="faculty-qualifications"/>
    <w:p>
      <w:pPr>
        <w:pStyle w:val="Heading3"/>
      </w:pPr>
      <w:r>
        <w:t xml:space="preserve">6.2 Faculty qualifications</w:t>
      </w:r>
    </w:p>
    <w:bookmarkStart w:id="76" w:name="a-faculty-qualifications"/>
    <w:p>
      <w:pPr>
        <w:pStyle w:val="Heading4"/>
      </w:pPr>
      <w:r>
        <w:t xml:space="preserve">6.2.a Faculty qualifications</w:t>
      </w:r>
    </w:p>
    <w:bookmarkEnd w:id="76"/>
    <w:bookmarkStart w:id="77" w:name="b-faculty-evaluation"/>
    <w:p>
      <w:pPr>
        <w:pStyle w:val="Heading4"/>
      </w:pPr>
      <w:r>
        <w:t xml:space="preserve">6.2.b Faculty evaluation</w:t>
      </w:r>
    </w:p>
    <w:bookmarkEnd w:id="77"/>
    <w:bookmarkEnd w:id="78"/>
    <w:bookmarkStart w:id="79" w:name="faculty-appointment-and-evaluation"/>
    <w:p>
      <w:pPr>
        <w:pStyle w:val="Heading3"/>
      </w:pPr>
      <w:r>
        <w:t xml:space="preserve">6.3 Faculty appointment and evaluation</w:t>
      </w:r>
    </w:p>
    <w:bookmarkEnd w:id="79"/>
    <w:bookmarkStart w:id="80" w:name="faculty-role-in-governance"/>
    <w:p>
      <w:pPr>
        <w:pStyle w:val="Heading3"/>
      </w:pPr>
      <w:r>
        <w:t xml:space="preserve">6.4 Faculty role in governance</w:t>
      </w:r>
    </w:p>
    <w:p>
      <w:r>
        <w:pict>
          <v:rect style="width:0;height:1.5pt" o:hralign="center" o:hrstd="t" o:hr="t"/>
        </w:pict>
      </w:r>
    </w:p>
    <w:bookmarkEnd w:id="80"/>
    <w:bookmarkEnd w:id="81"/>
    <w:bookmarkStart w:id="86" w:name="X6a3c0cf52c675168a9cea85c85459ea56329482"/>
    <w:p>
      <w:pPr>
        <w:pStyle w:val="Heading1"/>
      </w:pPr>
      <w:r>
        <w:t xml:space="preserve">Section 7 — Institutional Planning and Effectiveness</w:t>
      </w:r>
    </w:p>
    <w:bookmarkStart w:id="82" w:name="institutional-planning"/>
    <w:p>
      <w:pPr>
        <w:pStyle w:val="Heading3"/>
      </w:pPr>
      <w:r>
        <w:t xml:space="preserve">7.1 Institutional planning</w:t>
      </w:r>
    </w:p>
    <w:bookmarkEnd w:id="82"/>
    <w:bookmarkStart w:id="83" w:name="quality-enhancement-plan"/>
    <w:p>
      <w:pPr>
        <w:pStyle w:val="Heading3"/>
      </w:pPr>
      <w:r>
        <w:t xml:space="preserve">7.2 Quality enhancement plan</w:t>
      </w:r>
    </w:p>
    <w:bookmarkEnd w:id="83"/>
    <w:bookmarkStart w:id="84" w:name="administrative-effectiveness"/>
    <w:p>
      <w:pPr>
        <w:pStyle w:val="Heading3"/>
      </w:pPr>
      <w:r>
        <w:t xml:space="preserve">7.3 Administrative effectiveness</w:t>
      </w:r>
    </w:p>
    <w:bookmarkEnd w:id="84"/>
    <w:bookmarkStart w:id="85" w:name="Xe2c886989a7ea5a5b28856512cf67661d0a87e6"/>
    <w:p>
      <w:pPr>
        <w:pStyle w:val="Heading3"/>
      </w:pPr>
      <w:r>
        <w:t xml:space="preserve">7.4 Academic and student services effectiveness</w:t>
      </w:r>
    </w:p>
    <w:p>
      <w:r>
        <w:pict>
          <v:rect style="width:0;height:1.5pt" o:hralign="center" o:hrstd="t" o:hr="t"/>
        </w:pict>
      </w:r>
    </w:p>
    <w:bookmarkEnd w:id="85"/>
    <w:bookmarkEnd w:id="86"/>
    <w:bookmarkStart w:id="104" w:name="section-8-student-achievement"/>
    <w:p>
      <w:pPr>
        <w:pStyle w:val="Heading1"/>
      </w:pPr>
      <w:r>
        <w:t xml:space="preserve">Section 8 — Student Achievement</w:t>
      </w:r>
    </w:p>
    <w:bookmarkStart w:id="87" w:name="student-achievement-1"/>
    <w:p>
      <w:pPr>
        <w:pStyle w:val="Heading3"/>
      </w:pPr>
      <w:r>
        <w:t xml:space="preserve">8.1 Student achievement</w:t>
      </w:r>
    </w:p>
    <w:bookmarkEnd w:id="87"/>
    <w:bookmarkStart w:id="91" w:name="student-outcomes-educational-programs"/>
    <w:p>
      <w:pPr>
        <w:pStyle w:val="Heading3"/>
      </w:pPr>
      <w:r>
        <w:t xml:space="preserve">8.2 Student outcomes: educational programs</w:t>
      </w:r>
    </w:p>
    <w:bookmarkStart w:id="88" w:name="a-student-outcomes-educational-programs"/>
    <w:p>
      <w:pPr>
        <w:pStyle w:val="Heading4"/>
      </w:pPr>
      <w:r>
        <w:t xml:space="preserve">8.2.a Student outcomes: educational programs</w:t>
      </w:r>
    </w:p>
    <w:bookmarkEnd w:id="88"/>
    <w:bookmarkStart w:id="89" w:name="b-general-education-outcomes"/>
    <w:p>
      <w:pPr>
        <w:pStyle w:val="Heading4"/>
      </w:pPr>
      <w:r>
        <w:t xml:space="preserve">8.2.b General education outcomes</w:t>
      </w:r>
    </w:p>
    <w:bookmarkEnd w:id="89"/>
    <w:bookmarkStart w:id="90" w:name="c-competency-based-education-outcomes"/>
    <w:p>
      <w:pPr>
        <w:pStyle w:val="Heading4"/>
      </w:pPr>
      <w:r>
        <w:t xml:space="preserve">8.2.c Competency-based education outcomes</w:t>
      </w:r>
    </w:p>
    <w:bookmarkEnd w:id="90"/>
    <w:bookmarkEnd w:id="91"/>
    <w:bookmarkStart w:id="92" w:name="academic-program-coordination"/>
    <w:p>
      <w:pPr>
        <w:pStyle w:val="Heading3"/>
      </w:pPr>
      <w:r>
        <w:t xml:space="preserve">8.3 Academic program coordination</w:t>
      </w:r>
    </w:p>
    <w:bookmarkEnd w:id="92"/>
    <w:bookmarkStart w:id="93" w:name="academic-program-approval"/>
    <w:p>
      <w:pPr>
        <w:pStyle w:val="Heading3"/>
      </w:pPr>
      <w:r>
        <w:t xml:space="preserve">8.4 Academic program approval</w:t>
      </w:r>
    </w:p>
    <w:bookmarkEnd w:id="93"/>
    <w:bookmarkStart w:id="94" w:name="academic-program-closure"/>
    <w:p>
      <w:pPr>
        <w:pStyle w:val="Heading3"/>
      </w:pPr>
      <w:r>
        <w:t xml:space="preserve">8.5 Academic program closure</w:t>
      </w:r>
    </w:p>
    <w:bookmarkEnd w:id="94"/>
    <w:bookmarkStart w:id="95" w:name="post-baccalaureate-rigor-and-curriculum"/>
    <w:p>
      <w:pPr>
        <w:pStyle w:val="Heading3"/>
      </w:pPr>
      <w:r>
        <w:t xml:space="preserve">8.6 Post-baccalaureate rigor and curriculum</w:t>
      </w:r>
    </w:p>
    <w:bookmarkEnd w:id="95"/>
    <w:bookmarkStart w:id="96" w:name="program-length"/>
    <w:p>
      <w:pPr>
        <w:pStyle w:val="Heading3"/>
      </w:pPr>
      <w:r>
        <w:t xml:space="preserve">8.7 Program length</w:t>
      </w:r>
    </w:p>
    <w:bookmarkEnd w:id="96"/>
    <w:bookmarkStart w:id="97" w:name="faculty-workload"/>
    <w:p>
      <w:pPr>
        <w:pStyle w:val="Heading3"/>
      </w:pPr>
      <w:r>
        <w:t xml:space="preserve">8.8 Faculty workload</w:t>
      </w:r>
    </w:p>
    <w:bookmarkEnd w:id="97"/>
    <w:bookmarkStart w:id="98" w:name="cooperative-academic-arrangements"/>
    <w:p>
      <w:pPr>
        <w:pStyle w:val="Heading3"/>
      </w:pPr>
      <w:r>
        <w:t xml:space="preserve">8.9 Cooperative academic arrangements</w:t>
      </w:r>
    </w:p>
    <w:bookmarkEnd w:id="98"/>
    <w:bookmarkStart w:id="99" w:name="distance-and-correspondence-education"/>
    <w:p>
      <w:pPr>
        <w:pStyle w:val="Heading3"/>
      </w:pPr>
      <w:r>
        <w:t xml:space="preserve">8.10 Distance and correspondence education</w:t>
      </w:r>
    </w:p>
    <w:bookmarkEnd w:id="99"/>
    <w:bookmarkStart w:id="100" w:name="X5e4ed9e147f72008114cdef86cdf4a69be62584"/>
    <w:p>
      <w:pPr>
        <w:pStyle w:val="Heading3"/>
      </w:pPr>
      <w:r>
        <w:t xml:space="preserve">8.11 Direct assessment competency-based educational programs</w:t>
      </w:r>
    </w:p>
    <w:bookmarkEnd w:id="100"/>
    <w:bookmarkStart w:id="101" w:name="technology-enhanced-learning"/>
    <w:p>
      <w:pPr>
        <w:pStyle w:val="Heading3"/>
      </w:pPr>
      <w:r>
        <w:t xml:space="preserve">8.12 Technology-enhanced learning</w:t>
      </w:r>
    </w:p>
    <w:bookmarkEnd w:id="101"/>
    <w:bookmarkStart w:id="102" w:name="student-support-services"/>
    <w:p>
      <w:pPr>
        <w:pStyle w:val="Heading3"/>
      </w:pPr>
      <w:r>
        <w:t xml:space="preserve">8.13 Student support services</w:t>
      </w:r>
    </w:p>
    <w:bookmarkEnd w:id="102"/>
    <w:bookmarkStart w:id="103" w:name="institutional-environment"/>
    <w:p>
      <w:pPr>
        <w:pStyle w:val="Heading3"/>
      </w:pPr>
      <w:r>
        <w:t xml:space="preserve">8.14 Institutional environment</w:t>
      </w:r>
    </w:p>
    <w:p>
      <w:r>
        <w:pict>
          <v:rect style="width:0;height:1.5pt" o:hralign="center" o:hrstd="t" o:hr="t"/>
        </w:pict>
      </w:r>
    </w:p>
    <w:bookmarkEnd w:id="103"/>
    <w:bookmarkEnd w:id="104"/>
    <w:bookmarkStart w:id="113" w:name="X87b3d333e9bc70765135aa1d63f39cdbe459bc1"/>
    <w:p>
      <w:pPr>
        <w:pStyle w:val="Heading1"/>
      </w:pPr>
      <w:r>
        <w:t xml:space="preserve">Section 9 — Educational Program Structure and Content</w:t>
      </w:r>
    </w:p>
    <w:bookmarkStart w:id="105" w:name="program-content"/>
    <w:p>
      <w:pPr>
        <w:pStyle w:val="Heading3"/>
      </w:pPr>
      <w:r>
        <w:t xml:space="preserve">9.1 Program content</w:t>
      </w:r>
    </w:p>
    <w:bookmarkEnd w:id="105"/>
    <w:bookmarkStart w:id="106" w:name="program-length-1"/>
    <w:p>
      <w:pPr>
        <w:pStyle w:val="Heading3"/>
      </w:pPr>
      <w:r>
        <w:t xml:space="preserve">9.2 Program length</w:t>
      </w:r>
    </w:p>
    <w:bookmarkEnd w:id="106"/>
    <w:bookmarkStart w:id="107" w:name="general-education-requirements"/>
    <w:p>
      <w:pPr>
        <w:pStyle w:val="Heading3"/>
      </w:pPr>
      <w:r>
        <w:t xml:space="preserve">9.3 General education requirements</w:t>
      </w:r>
    </w:p>
    <w:bookmarkEnd w:id="107"/>
    <w:bookmarkStart w:id="108" w:name="institutional-credits-for-a-degree"/>
    <w:p>
      <w:pPr>
        <w:pStyle w:val="Heading3"/>
      </w:pPr>
      <w:r>
        <w:t xml:space="preserve">9.4 Institutional credits for a degree</w:t>
      </w:r>
    </w:p>
    <w:bookmarkEnd w:id="108"/>
    <w:bookmarkStart w:id="109" w:name="academic-policies"/>
    <w:p>
      <w:pPr>
        <w:pStyle w:val="Heading3"/>
      </w:pPr>
      <w:r>
        <w:t xml:space="preserve">9.5 Academic policies</w:t>
      </w:r>
    </w:p>
    <w:bookmarkEnd w:id="109"/>
    <w:bookmarkStart w:id="110" w:name="post-baccalaureate-program-rigor"/>
    <w:p>
      <w:pPr>
        <w:pStyle w:val="Heading3"/>
      </w:pPr>
      <w:r>
        <w:t xml:space="preserve">9.6 Post-baccalaureate program rigor</w:t>
      </w:r>
    </w:p>
    <w:bookmarkEnd w:id="110"/>
    <w:bookmarkStart w:id="111" w:name="program-requirements"/>
    <w:p>
      <w:pPr>
        <w:pStyle w:val="Heading3"/>
      </w:pPr>
      <w:r>
        <w:t xml:space="preserve">9.7 Program requirements</w:t>
      </w:r>
    </w:p>
    <w:bookmarkEnd w:id="111"/>
    <w:bookmarkStart w:id="112" w:name="educational-delivery-methods"/>
    <w:p>
      <w:pPr>
        <w:pStyle w:val="Heading3"/>
      </w:pPr>
      <w:r>
        <w:t xml:space="preserve">9.8 Educational delivery methods</w:t>
      </w:r>
    </w:p>
    <w:p>
      <w:r>
        <w:pict>
          <v:rect style="width:0;height:1.5pt" o:hralign="center" o:hrstd="t" o:hr="t"/>
        </w:pict>
      </w:r>
    </w:p>
    <w:bookmarkEnd w:id="112"/>
    <w:bookmarkEnd w:id="113"/>
    <w:bookmarkStart w:id="127" w:name="Xe59a58c5b3b49e3018e7f31a8e5362febb4f2da"/>
    <w:p>
      <w:pPr>
        <w:pStyle w:val="Heading1"/>
      </w:pPr>
      <w:r>
        <w:t xml:space="preserve">Section 10 — Educational Policies, Procedures, and Practices</w:t>
      </w:r>
    </w:p>
    <w:bookmarkStart w:id="114" w:name="academic-policies-1"/>
    <w:p>
      <w:pPr>
        <w:pStyle w:val="Heading3"/>
      </w:pPr>
      <w:r>
        <w:t xml:space="preserve">10.1 Academic policies</w:t>
      </w:r>
    </w:p>
    <w:bookmarkEnd w:id="114"/>
    <w:bookmarkStart w:id="115" w:name="public-information"/>
    <w:p>
      <w:pPr>
        <w:pStyle w:val="Heading3"/>
      </w:pPr>
      <w:r>
        <w:t xml:space="preserve">10.2 Public information</w:t>
      </w:r>
    </w:p>
    <w:bookmarkEnd w:id="115"/>
    <w:bookmarkStart w:id="116" w:name="defined-and-published-policies"/>
    <w:p>
      <w:pPr>
        <w:pStyle w:val="Heading3"/>
      </w:pPr>
      <w:r>
        <w:t xml:space="preserve">10.3 Defined and published policies</w:t>
      </w:r>
    </w:p>
    <w:bookmarkEnd w:id="116"/>
    <w:bookmarkStart w:id="117" w:name="academic-calendar"/>
    <w:p>
      <w:pPr>
        <w:pStyle w:val="Heading3"/>
      </w:pPr>
      <w:r>
        <w:t xml:space="preserve">10.4 Academic calendar</w:t>
      </w:r>
    </w:p>
    <w:bookmarkEnd w:id="117"/>
    <w:bookmarkStart w:id="118" w:name="admissions-policies"/>
    <w:p>
      <w:pPr>
        <w:pStyle w:val="Heading3"/>
      </w:pPr>
      <w:r>
        <w:t xml:space="preserve">10.5 Admissions policies</w:t>
      </w:r>
    </w:p>
    <w:bookmarkEnd w:id="118"/>
    <w:bookmarkStart w:id="119" w:name="Xfdff011977ce39b4ed154fe4524cfd5378ded75"/>
    <w:p>
      <w:pPr>
        <w:pStyle w:val="Heading3"/>
      </w:pPr>
      <w:r>
        <w:t xml:space="preserve">10.6 Distance and correspondence education policies</w:t>
      </w:r>
    </w:p>
    <w:bookmarkEnd w:id="119"/>
    <w:bookmarkStart w:id="120" w:name="policies-regarding-transfer-credit"/>
    <w:p>
      <w:pPr>
        <w:pStyle w:val="Heading3"/>
      </w:pPr>
      <w:r>
        <w:t xml:space="preserve">10.7 Policies regarding transfer credit</w:t>
      </w:r>
    </w:p>
    <w:bookmarkEnd w:id="120"/>
    <w:bookmarkStart w:id="121" w:name="evaluating-and-awarding-academic-credit"/>
    <w:p>
      <w:pPr>
        <w:pStyle w:val="Heading3"/>
      </w:pPr>
      <w:r>
        <w:t xml:space="preserve">10.8 Evaluating and awarding academic credit</w:t>
      </w:r>
    </w:p>
    <w:bookmarkEnd w:id="121"/>
    <w:bookmarkStart w:id="122" w:name="Xc512447ba1f25a8e8c4cd7ce4005e7cdb87d898"/>
    <w:p>
      <w:pPr>
        <w:pStyle w:val="Heading3"/>
      </w:pPr>
      <w:r>
        <w:t xml:space="preserve">10.9 Cooperative academic arrangements policies</w:t>
      </w:r>
    </w:p>
    <w:bookmarkEnd w:id="122"/>
    <w:bookmarkStart w:id="123" w:name="recruiting-and-admissions-materials"/>
    <w:p>
      <w:pPr>
        <w:pStyle w:val="Heading3"/>
      </w:pPr>
      <w:r>
        <w:t xml:space="preserve">10.10 Recruiting and admissions materials</w:t>
      </w:r>
    </w:p>
    <w:bookmarkEnd w:id="123"/>
    <w:bookmarkStart w:id="124" w:name="transcript-policies"/>
    <w:p>
      <w:pPr>
        <w:pStyle w:val="Heading3"/>
      </w:pPr>
      <w:r>
        <w:t xml:space="preserve">10.11 Transcript policies</w:t>
      </w:r>
    </w:p>
    <w:bookmarkEnd w:id="124"/>
    <w:bookmarkStart w:id="125" w:name="student-complaints"/>
    <w:p>
      <w:pPr>
        <w:pStyle w:val="Heading3"/>
      </w:pPr>
      <w:r>
        <w:t xml:space="preserve">10.12 Student complaints</w:t>
      </w:r>
    </w:p>
    <w:bookmarkEnd w:id="125"/>
    <w:bookmarkStart w:id="126" w:name="protection-of-student-records"/>
    <w:p>
      <w:pPr>
        <w:pStyle w:val="Heading3"/>
      </w:pPr>
      <w:r>
        <w:t xml:space="preserve">10.13 Protection of student records</w:t>
      </w:r>
    </w:p>
    <w:p>
      <w:r>
        <w:pict>
          <v:rect style="width:0;height:1.5pt" o:hralign="center" o:hrstd="t" o:hr="t"/>
        </w:pict>
      </w:r>
    </w:p>
    <w:bookmarkEnd w:id="126"/>
    <w:bookmarkEnd w:id="127"/>
    <w:bookmarkStart w:id="131" w:name="Xc6adc8bb4e3be87d5d5805d5fff6110cd34ffe2"/>
    <w:p>
      <w:pPr>
        <w:pStyle w:val="Heading1"/>
      </w:pPr>
      <w:r>
        <w:t xml:space="preserve">Section 11 — Library and Learning/Information Resources</w:t>
      </w:r>
    </w:p>
    <w:bookmarkStart w:id="128" w:name="X80837ef8e50db8f21f83f55c75fb25ead616197"/>
    <w:p>
      <w:pPr>
        <w:pStyle w:val="Heading3"/>
      </w:pPr>
      <w:r>
        <w:t xml:space="preserve">11.1 Library and learning/information resources</w:t>
      </w:r>
    </w:p>
    <w:bookmarkEnd w:id="128"/>
    <w:bookmarkStart w:id="129" w:name="library-staffing-and-services"/>
    <w:p>
      <w:pPr>
        <w:pStyle w:val="Heading3"/>
      </w:pPr>
      <w:r>
        <w:t xml:space="preserve">11.2 Library staffing and services</w:t>
      </w:r>
    </w:p>
    <w:bookmarkEnd w:id="129"/>
    <w:bookmarkStart w:id="130" w:name="information-technology-resources"/>
    <w:p>
      <w:pPr>
        <w:pStyle w:val="Heading3"/>
      </w:pPr>
      <w:r>
        <w:t xml:space="preserve">11.3 Information technology resources</w:t>
      </w:r>
    </w:p>
    <w:p>
      <w:r>
        <w:pict>
          <v:rect style="width:0;height:1.5pt" o:hralign="center" o:hrstd="t" o:hr="t"/>
        </w:pict>
      </w:r>
    </w:p>
    <w:bookmarkEnd w:id="130"/>
    <w:bookmarkEnd w:id="131"/>
    <w:bookmarkStart w:id="137" w:name="Xae1c05c33b063ae1d9d1debcde0f128a454f426"/>
    <w:p>
      <w:pPr>
        <w:pStyle w:val="Heading1"/>
      </w:pPr>
      <w:r>
        <w:t xml:space="preserve">Section 12 — Academic and Student Support Services</w:t>
      </w:r>
    </w:p>
    <w:bookmarkStart w:id="132" w:name="student-support-services-1"/>
    <w:p>
      <w:pPr>
        <w:pStyle w:val="Heading3"/>
      </w:pPr>
      <w:r>
        <w:t xml:space="preserve">12.1 Student support services</w:t>
      </w:r>
    </w:p>
    <w:bookmarkEnd w:id="132"/>
    <w:bookmarkStart w:id="133" w:name="student-support-services-staff"/>
    <w:p>
      <w:pPr>
        <w:pStyle w:val="Heading3"/>
      </w:pPr>
      <w:r>
        <w:t xml:space="preserve">12.2 Student support services staff</w:t>
      </w:r>
    </w:p>
    <w:bookmarkEnd w:id="133"/>
    <w:bookmarkStart w:id="134" w:name="student-records"/>
    <w:p>
      <w:pPr>
        <w:pStyle w:val="Heading3"/>
      </w:pPr>
      <w:r>
        <w:t xml:space="preserve">12.3 Student records</w:t>
      </w:r>
    </w:p>
    <w:bookmarkEnd w:id="134"/>
    <w:bookmarkStart w:id="135" w:name="student-complaints-1"/>
    <w:p>
      <w:pPr>
        <w:pStyle w:val="Heading3"/>
      </w:pPr>
      <w:r>
        <w:t xml:space="preserve">12.4 Student complaints</w:t>
      </w:r>
    </w:p>
    <w:bookmarkEnd w:id="135"/>
    <w:bookmarkStart w:id="136" w:name="student-disability-services"/>
    <w:p>
      <w:pPr>
        <w:pStyle w:val="Heading3"/>
      </w:pPr>
      <w:r>
        <w:t xml:space="preserve">12.5 Student disability services</w:t>
      </w:r>
    </w:p>
    <w:p>
      <w:r>
        <w:pict>
          <v:rect style="width:0;height:1.5pt" o:hralign="center" o:hrstd="t" o:hr="t"/>
        </w:pict>
      </w:r>
    </w:p>
    <w:bookmarkEnd w:id="136"/>
    <w:bookmarkEnd w:id="137"/>
    <w:bookmarkStart w:id="144" w:name="X8068a7b849eedb0076a08c09bb320b939531169"/>
    <w:p>
      <w:pPr>
        <w:pStyle w:val="Heading1"/>
      </w:pPr>
      <w:r>
        <w:t xml:space="preserve">Section 13 — Financial and Physical Resources</w:t>
      </w:r>
    </w:p>
    <w:bookmarkStart w:id="138" w:name="financial-resources"/>
    <w:p>
      <w:pPr>
        <w:pStyle w:val="Heading3"/>
      </w:pPr>
      <w:r>
        <w:t xml:space="preserve">13.1 Financial resources</w:t>
      </w:r>
    </w:p>
    <w:bookmarkEnd w:id="138"/>
    <w:bookmarkStart w:id="139" w:name="financial-documents"/>
    <w:p>
      <w:pPr>
        <w:pStyle w:val="Heading3"/>
      </w:pPr>
      <w:r>
        <w:t xml:space="preserve">13.2 Financial documents</w:t>
      </w:r>
    </w:p>
    <w:bookmarkEnd w:id="139"/>
    <w:bookmarkStart w:id="140" w:name="financial-responsibility"/>
    <w:p>
      <w:pPr>
        <w:pStyle w:val="Heading3"/>
      </w:pPr>
      <w:r>
        <w:t xml:space="preserve">13.3 Financial responsibility</w:t>
      </w:r>
    </w:p>
    <w:bookmarkEnd w:id="140"/>
    <w:bookmarkStart w:id="141" w:name="control-of-finances"/>
    <w:p>
      <w:pPr>
        <w:pStyle w:val="Heading3"/>
      </w:pPr>
      <w:r>
        <w:t xml:space="preserve">13.4 Control of finances</w:t>
      </w:r>
    </w:p>
    <w:bookmarkEnd w:id="141"/>
    <w:bookmarkStart w:id="142" w:name="institution-wide-safety-and-security"/>
    <w:p>
      <w:pPr>
        <w:pStyle w:val="Heading3"/>
      </w:pPr>
      <w:r>
        <w:t xml:space="preserve">13.5 Institution-wide safety and security</w:t>
      </w:r>
    </w:p>
    <w:bookmarkEnd w:id="142"/>
    <w:bookmarkStart w:id="143" w:name="physical-resources"/>
    <w:p>
      <w:pPr>
        <w:pStyle w:val="Heading3"/>
      </w:pPr>
      <w:r>
        <w:t xml:space="preserve">13.6 Physical resources</w:t>
      </w:r>
    </w:p>
    <w:p>
      <w:r>
        <w:pict>
          <v:rect style="width:0;height:1.5pt" o:hralign="center" o:hrstd="t" o:hr="t"/>
        </w:pict>
      </w:r>
    </w:p>
    <w:bookmarkEnd w:id="143"/>
    <w:bookmarkEnd w:id="144"/>
    <w:bookmarkStart w:id="153" w:name="X3987daede5b0d35d972466dd28d250970a4887f"/>
    <w:p>
      <w:pPr>
        <w:pStyle w:val="Heading1"/>
      </w:pPr>
      <w:r>
        <w:t xml:space="preserve">Section 14 — Transparency and Institutional Representation</w:t>
      </w:r>
    </w:p>
    <w:bookmarkStart w:id="145" w:name="publication-of-accreditation-status"/>
    <w:p>
      <w:pPr>
        <w:pStyle w:val="Heading3"/>
      </w:pPr>
      <w:r>
        <w:t xml:space="preserve">14.1 Publication of accreditation status</w:t>
      </w:r>
    </w:p>
    <w:bookmarkEnd w:id="145"/>
    <w:bookmarkStart w:id="146" w:name="substantive-change"/>
    <w:p>
      <w:pPr>
        <w:pStyle w:val="Heading3"/>
      </w:pPr>
      <w:r>
        <w:t xml:space="preserve">14.2 Substantive change</w:t>
      </w:r>
    </w:p>
    <w:bookmarkEnd w:id="146"/>
    <w:bookmarkStart w:id="147" w:name="comprehensive-institutional-information"/>
    <w:p>
      <w:pPr>
        <w:pStyle w:val="Heading3"/>
      </w:pPr>
      <w:r>
        <w:t xml:space="preserve">14.3 Comprehensive institutional information</w:t>
      </w:r>
    </w:p>
    <w:bookmarkEnd w:id="147"/>
    <w:bookmarkStart w:id="148" w:name="representation-to-other-agencies"/>
    <w:p>
      <w:pPr>
        <w:pStyle w:val="Heading3"/>
      </w:pPr>
      <w:r>
        <w:t xml:space="preserve">14.4 Representation to other agencies</w:t>
      </w:r>
    </w:p>
    <w:bookmarkEnd w:id="148"/>
    <w:bookmarkStart w:id="149" w:name="policy-compliance"/>
    <w:p>
      <w:pPr>
        <w:pStyle w:val="Heading3"/>
      </w:pPr>
      <w:r>
        <w:t xml:space="preserve">14.5 Policy compliance</w:t>
      </w:r>
    </w:p>
    <w:p>
      <w:r>
        <w:pict>
          <v:rect style="width:0;height:1.5pt" o:hralign="center" o:hrstd="t" o:hr="t"/>
        </w:pict>
      </w:r>
    </w:p>
    <w:bookmarkEnd w:id="149"/>
    <w:bookmarkStart w:id="152" w:name="notes"/>
    <w:p>
      <w:pPr>
        <w:pStyle w:val="Heading2"/>
      </w:pPr>
      <w:r>
        <w:t xml:space="preserve">Notes</w:t>
      </w:r>
    </w:p>
    <w:p>
      <w:pPr>
        <w:pStyle w:val="Compact"/>
        <w:numPr>
          <w:ilvl w:val="0"/>
          <w:numId w:val="1001"/>
        </w:numPr>
      </w:pPr>
      <w:r>
        <w:t xml:space="preserve">The current standards in use during 2026 are derived from the 2024 Edition of the</w:t>
      </w:r>
      <w:r>
        <w:t xml:space="preserve"> </w:t>
      </w:r>
      <w:r>
        <w:rPr>
          <w:i/>
          <w:iCs/>
        </w:rPr>
        <w:t xml:space="preserve">Principles of Accreditation: Foundations for Quality Enhancement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SACSCOC periodically revises standards, resource manuals, and interpretive guidance.</w:t>
      </w:r>
    </w:p>
    <w:p>
      <w:pPr>
        <w:pStyle w:val="Compact"/>
        <w:numPr>
          <w:ilvl w:val="0"/>
          <w:numId w:val="1001"/>
        </w:numPr>
      </w:pPr>
      <w:r>
        <w:t xml:space="preserve">Institutions must demonstrate ongoing compliance with both the Principles and all related SACSCOC policies and procedures.</w:t>
      </w:r>
    </w:p>
    <w:p>
      <w:pPr>
        <w:pStyle w:val="FirstParagraph"/>
      </w:pPr>
      <w:r>
        <w:t xml:space="preserve">Primary SACSCOC accreditation standards resource:</w:t>
      </w:r>
    </w:p>
    <w:p>
      <w:pPr>
        <w:pStyle w:val="Compact"/>
        <w:numPr>
          <w:ilvl w:val="0"/>
          <w:numId w:val="1002"/>
        </w:numPr>
      </w:pPr>
      <w:hyperlink r:id="rId150">
        <w:r>
          <w:rPr>
            <w:rStyle w:val="Hyperlink"/>
          </w:rPr>
          <w:t xml:space="preserve">SACSCOC Accrediting Standards</w:t>
        </w:r>
      </w:hyperlink>
    </w:p>
    <w:p>
      <w:pPr>
        <w:pStyle w:val="Compact"/>
        <w:numPr>
          <w:ilvl w:val="0"/>
          <w:numId w:val="1002"/>
        </w:numPr>
      </w:pPr>
      <w:hyperlink r:id="rId151">
        <w:r>
          <w:rPr>
            <w:rStyle w:val="Hyperlink"/>
          </w:rPr>
          <w:t xml:space="preserve">SACSCOC Principles of Accreditation Resources</w:t>
        </w:r>
      </w:hyperlink>
    </w:p>
    <w:bookmarkEnd w:id="152"/>
    <w:bookmarkEnd w:id="1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151" Target="https://sacscoc.org/about-sacscoc/?utm_source=chatgpt.com" TargetMode="External" /><Relationship Type="http://schemas.openxmlformats.org/officeDocument/2006/relationships/hyperlink" Id="rId150" Target="https://sacscoc.org/accrediting-standards/?utm_source=chatgpt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1" Target="https://sacscoc.org/about-sacscoc/?utm_source=chatgpt.com" TargetMode="External" /><Relationship Type="http://schemas.openxmlformats.org/officeDocument/2006/relationships/hyperlink" Id="rId150" Target="https://sacscoc.org/accrediting-standards/?utm_source=chatgpt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2026-05-17T18:43:38Z</dcterms:created>
  <dcterms:modified xsi:type="dcterms:W3CDTF">2026-05-17T18:43:38Z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